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августа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кассационных жалоб не подтверждают наличие оснований, предусмотренных статьей 29111 Арбитражного процессуального кодекса Российской Федерации, для рассмотрения дела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Межрайонной инспекции Федеральной налоговой службы Российской Федерации № 24 по Челябинской области и обществу с ограниченной ответственностью «Ресурс» в передаче кассационных жалоб для рассмотрения 2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