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04.10.2021, оставленным без изменения постановлением Седьмого арбитражного апелляционного суда от 28.12.2021 и постановлением Арбитражного суда Западно-Сибирского округа от 13.04.2022, спорная квартира признана не подлежащей включению в конкурсную массу должника. В кассационных жалобах кредиторы просят об отмене судебных актов, ссылаясь на неприменение механизма реализации единственного жилья.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отсутствие условий для реализации единственного для должника членов его семьи жилья, поэтому отказали во включении квартиры в конкурсную массу в силу статьи 446 Гражданского кодекса Российской Федерации, статьи 213.25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Недведскому Д.С. и Лунькову Л.Э.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