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12.10.2021, оставленным без изменения постановлением Второго арбитражного апелляционного суда от 30.12.2021 и постановлением Арбитражного суда Волго-Вятского округа от 17.05.2022, с общества в пользу департамента взыскано 37 259 719 руб. ущерба,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частично удовлетворяя исковые требования,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8, 1064 Гражданского кодекса Российской Федерации, статей 99, 100 Лесного кодекса Российской Федерации, статьи 77 Федерального закона от 10.01.2002 № 7-ФЗ «Об охране окружающей среды», разъяснениями, изложенными в постановлении Пленума Верховного Суда Российской Федерации от 18.10.2012 № 21 «О применении судами законодательства об ответственности за нарушения в области охраны окружающей среды и природопользования», постановлении Пленума Верховного Суда Российской Федерации от 30.11.2017 № 49 «О некоторых вопросах применения законодательства о возмещении вреда, причиненного окружающей среде», исходили из доказанности факта причинения ответчиком ущерба окружающей среде в результате незаконной рубки при заготовке древесины в размере, определенном заключением судебной экспертизы.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«Интертрансстрой»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