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04.10.2021, оставленным без изменения постановлением Седьмого арбитражного апелляционного суда от 28.12.2021 и постановлением Арбитражного суда Западно-Сибирского округа от 13.04.2022, спорная квартира признана не подлежащей включению в конкурсную массу должника. В кассационных жалобах кредиторы просят об отмене судебных актов, ссылаясь на неприменение механизма реализации единственного жилья.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отсутствие условий для реализации единственного для должника членов его семьи жилья, поэтому отказали во включении квартиры в конкурсную массу в силу статьи 446 Гражданского кодекса Российской Федерации, статьи 213.25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Западно-Сибирского округа (подробнее) НП Арбитражных управляющих "ОРИОН" (подробнее) Седьмой арбитражный апелляционный суд (подробнее) Управление Росреестра по НСО (подробнее) Финансовый управляющий Тищенко И.С.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