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01.09.2021, оставленным без изменения постановлением Девятого арбитражного апелляционного суда от 14.02.2022 и постановлением Арбитражного суда Московского округа от 15.04.2022, в удовлетворении заявления отказано. В кассационной жалобе Румынский В.И. просит об отмене судебных актов, ссылаясь на несоответствие их представленным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Представленные заявителем доказательства наличия заемного обязательства при отсутствии надлежащего подтверждения его финансовой состоятельности и использования должником заявленной суммы признаны судами не отвечающими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установления основанного на них требования к должнику. Вопросы доказывания и оценки доказательств, с которыми связаны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Румынскому В.И.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Н.А. Ксенофонтова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