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15.10.2021, оставленным без изменения постановлением Семнадцатого арбитражного апелляционного суда от 24.01.2022 и постановлением Арбитражного суда Уральского округа от 04.05.2022, процедура реализации имущества гражданина завершена, должник освобожден от дальнейшего исполнения требований кредиторов. В кассационной жалобе общество просит об отмене судебных актов в части освобождения от исполнения обязательств,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оценили его как не создающее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«НБК»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