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29.12.2021, оставленным без изменения постановлением Пятнадцатого арбитражного апелляционного суда от 15.03.2022 и постановлением Арбитражного суда Северо-Кавказского округа от 18.05.2022, в пересмотре решения от 19.01.2018 по вновь открывшимся обстоятельствам отказано. В кассационной жалобе Балабаюк А.П. просит о пересмотре указанных судебных актов, ссылаясь на установленные в рамках уголовного дела обстоятельства, исключающие его ответственность за хищение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признали, что установленные в рамках уголовного дела обстоятельства не влияют на гражданско-правовую ответственность перевозчика за ненадлежащее исполнение обязательства и не обладают необходимыми в силу пункта 1 части 2 статьи 311 Арбитражного процессуального кодекса Российской Федерации признаками для пересмотра решения от 19.01.2018.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Балабаюку А.П.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