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20.10.2021 процедура реализации имущества должника завершена, должник освобожден от дальнейшего исполнения требований кредиторов. Постановлением Девятого арбитражного апелляционного суда от 21.01.2022 определение от 20.10.2021 отменено в части, в отношении должника не применены правила об освобождении от дальнейшего исполнения требований кредиторов. Постановлением Арбитражного суда Московского округа от 12.04.2022, постановление апелляционного суда отменено, определение суда первой инстанции оставлено в силе. В кассационной жалобе Ковалев Н.Н. просит об отмене определения суда первой инстанции и постановления окружного суда, ссылаясь на игнорирование недобросовестности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первой инстанции исследовал и оценил поведение должника в ситуациях образования и погашения задолженности и признал его создающим условия для применения правил пункта 3 статьи 213.28 Федерального закона от 26.10.2002 № 127-ФЗ «О несостоятельности (банкротстве)» для освобождения от исполнения обязательств. В отсутствие у суда апелляционной инстанции оснований для иных выводов в отношении тех же обстоятельств, которыми располагал суд первой инстанции, окружной суд отменил апелляционное постановление в соответствии с компетенцией, предусмотренной статьями 286 - 288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Ковалеву Николаю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