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29.12.2021, оставленным без изменении постановлением Девятого арбитражного апелляционного суда от 09.02.2022 и постановлением Арбитражного суда Московского округа от 02.06.2022, исковые требования удовлетворены.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договор не переработку давальческого сырья расторгнут компанией (заказчик), доказательств выполнения обществом (переработчик) работ на спорную сумму полученного аванса либо ее возврата заказчику не представлено, руководствуясь статьями 395, 450.1, 453, 1102 Гражданского кодекса Российской Федерации, суды первой и апелляционной инстанций пришли к выводу об отсутствии у общества оснований для удержания денежных средств, в связи с чем удовлетворили исковые требования. Суд округа поддержал выводы судов первой и апелляционной инстанций.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Определением Верховного Суда Российской Федерации от 20.07.2022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города Москвы. 3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«Самаранефть-Сервис»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«Самаранефть-Сервис» в доход федерального бюджета 3000 (три тысячи) рублей государственной пошлины за подачу кассационной жалобы. Поручить Арбитражному суду города Москвы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