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05.08.2022,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2 статьями 259, 276, 291.2, 308.1 и 312 АПК РФ предельные допустимые сроки для восстановления. Последним обжалуемым судебным актом является постановление Арбитражного суда Московского округа от 01.06.2022, вступившее в законную силу, согласно части 5 статьи 289 АПК РФ, со дня его принятия – 01.06.2022, следовательно, двухмесячный срок на подачу кассационной жалобы истек 01.08.2022, тогда как жалоба подана – 05.08.2022.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публикация судебного акта 10.06.2022 и исчисление срока на подачу жалобы со следующего дня после публикации. Однако указанное обстоятельство не свидетельствует о наличии уважительной причины пропуска срока. Срок на подачу кассационной жалобы исчисляется не с даты опубликования судебного акта, а с даты изготовления арбитражным судом кассационной инстанции судебного акта в полном объеме. Публикация обжалуемого судебного акта 10.06.2022 не могла повлиять на срок обращения с жалобой и не могла привести к несвоевременному обращению с кассационной жалобой в Верховный Суд Российской Федерации, поскольку с момента публикации заявитель располагал достаточным периодом времени (более 1,5 месяцев) для подготовки и подачи жалобы в установленный двухмесячный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«Стройтрансгаз Трубопроводстрой» в удовлетворении ходатайства о восстановлении пропущенного процессуального срока подачи кассационной жалобы на постановление Арбитражного суда Московского округа от 01.06.2022 по делу № А40-222123/2021 Арбитражного суда города Москвы. Жалобу ООО «Стройтрансгаз Трубопроводстрой»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