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28.07.2021 иск удовлетворен. Постановлением Семнадцатого арбитражного апелляционного суда от 20.01.2022 решение суда первой инстанции отменено, в удовлетворении иска отказано. Постановлением Арбитражного суда Уральского округа от 20.05.2022 постановление суда апелляционной инстанции оставлено без изменения. В кассационной жалобе, поданной в Верховный Суд Российской Федерации, товарищество, ссылаясь на нарушение судами апелляционной 2 инстанции и округа норм материального права, просит отменить постановления от 20.01.2022, от 20.05.2022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с которым впоследствии согласился суд округа, руководствовался статьями 196, 199, 200, 210, 290, 1102, 1105 Гражданского кодекса Российской Федерации и исходил из пропуска истцом срока исковой давности, о чем было заявлено ответчиком. Выводы судов подробно мотивированы в обжалуемых судебных актах.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«Куйбышева 86»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