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«Офис Премьер» обратилось в Арбитражный суд города Москвы с иском к компании о взыскании денежных средств. Решением Арбитражного суда города Москвы от 28.02.2022 иск удовлетворен. Не согласившись с указанным решением суда, компания обратилась в Девятый арбитражный апелляционный суд с апелляционной жалобой. Определением Девятого арбитражного апелляционного суда от 06.04.2022 апелляционная жалоба возвращена заявителю. Компания повторно обратилась в Девятый арбитражный апелляционный суд с апелляционной жалобой на решение суда первой инстанции, одновременно заявив ходатайство о восстановлении пропущенного срока на ее подачу. Девятый арбитражный апелляционный суд определением от 26.04.2022 возвратил апелляционную жалобу компании. Постановлением Арбитражного суда Московского округа от 11.07.2022 определения суда апелляционной инстанции от 06.04.2022, от 26.04.2022 оставлены без изменения. В кассационной жалобе, поданной в Верховный Суд Российской Федерации, компания, ссылаясь на нарушение судами апелляционной 2 инстанции и округа норм процессуального права,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Суд апелляционной инстанции, установив, что апелляционная жалоба компании подана по истечении предусмотренного статьей 259 Арбитражного процессуального кодекса Российской Федерации срока и не содержит ходатайства о его восстановлении, руководствуясь статьей 264 Арбитражного процессуального кодекса Российской Федерации, возвратил жалобу компании определением от 06.04.2022. Отказывая в удовлетворении ходатайства о восстановлении пропущенного процессуального срока и возвращая компании апелляционную жалобу определением от 26.04.2022, суд апелляционной инстанции руководствовался статьями 117, 259, 264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25.12.2013 № 99 «О процессуальных сроках», и исходил из того, что заявитель не привел уважительных причин пропуска срока на подачу жалобы. Суд округа поддержал выводы суда апелляционной инстанции. Доводы кассационной жалобы не опровергают приведенные выводы судов,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«Книготорговая компания «Бирюза»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