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Авраменко А.А. в Арбитражный суд Самарской области обратился должник с заявлением об исключении ежемесячно из конкурсной массы денежных средств на аренду жилья в городе Москве. Определением Арбитражного суда Самарской области от 20.01.2022 заявление должника удовлетворено. Постановлением Одиннадцатого арбитражного апелляционного суда от 18.04.2022 определение суда первой инстанции отменено, в удовлетворении заявления отказано. Арбитражный суд Поволжского округа постановлением от 09.06.2022 постановление суда апелляционной инстанции оставил без изменения. Авраменко А.А. обратился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апелляционной и кассационной инстанций исходили из того, что имеется вступивший в законную силу судебный акт, определивший размер денежных средств, подлежащих ежемесячному исключению из конкурсной массы на оплату аренды жилья начиная с 21.06.2021.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