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«Орион» (далее – общество «Орион») обратилось в суд с заявлением о включении в реестр требований кредиторов должника (далее – реестр) его требования в размере 2 250 898 920 рублей 28 копеек. Впоследствии произведена процессуальная замена общества «Орион» на его правопреемника – компанию «Каймар». Определением Арбитражного суда Хабаровского края от 25.09.2020 заявление удовлетворено. Постановлением Шестого арбитражного апелляционного суда от 28.12.2021, оставленным без изменения постановлением Арбитражного суда Дальневосточного округа от 11.04.2022, данное определение отменено по безусловным основаниям; заявление рассмотрено по правилам, установленным для рассмотрения дела в суде первой инстанции. Требование общества в размере 2 177 773 844 рубля признано обоснованным и подлежащим удовлетворению в очерёдности, предшествующей распределению ликвидационной квоты; отказано в удовлетворении остальной части требований; отказано в удовлетворении ходатайства компании «Tongjiang Jiaxin Economic and Trad Co.,LTD» о процессуальном правопреемстве. В кассационной жалобе, поданной в Верховный Суд Российской Федерации, заявитель просит отменить постановления судов апелляционной инстанции и округа. Исходя из доводов кассационной жалобы, заявитель 2 не согласен с обжалуемыми судебными актами судов в части понижения очерёдности удовлетворения его требования.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апелляционной инстанции и округа, руководствуясь статьями 2, 19, 71, 100, 142 Федерального закона от 26.10.2002 № 127-ФЗ «О несостоятельности (банкротстве)», Обзором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утверждённого Президиумом Верховного Суда Российской Федерации от 29.01.2020, исходили из того, что спорное требование представляет собой компенсационное финансирование, предоставленное заинтересованным лицом пребывающему в имущественном кризисе должнику и невостребованное в разумный срок, в связи с чем понизили очерёдность его удовлетворения. Выводы судов апелляционной инстанции и округа в обжалуемой заявителем части соответствуют нормам права, оснований для переоценки выводов судов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«Каймар»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