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«Торговый Дом Инвэнт» (далее – общество) обратилось в суд с заявлением о процессуальном правопреемстве кредитора – акционерного общества «Газпромбанк» на себя в реестре требований кредиторов в размере 2 333 953 рубля 61 копейка. Определением Арбитражного суда Республики Татарстан от 13.12.2021 в удовлетворении заявления отказано. Постановлением Одиннадцатого арбитражного апелляционного суда от 25.02.2022, оставленным без изменения постановление Арбитражного суда Поволжского округа от 02.06.2022, данное определение отменено,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48 Арбитражного процессуального кодекса Российской Федерации, статьями 382, 387 Гражданского кодекса Российской Федерации, пунктом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частичное погашение аффилированным должнику обществом банкротом требований кредитора банка произведено после возбуждения дела о банкротстве должника и не являлось компенсационным финансированием, в связи с чем осуществили процессуальную замену кредитора банка его правопреемником на сумму погашенного требования.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«Таткабель» Ковалёву Игорю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