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«УК НАРСПИ» обратилось в Арбитражный суд Забайкальского края с иском к государственному казенному учреждению «Служба единого заказчика» об обязании в течение 60 дней с момента вступления в законную силу решения суда безвозмездно устранить причину протечек с потолка и стен в помещении подземной автостоянки, расположенной по адресу: Забайкальский край, г. Чита, ул. Нагорная, 43а и взыскании 30 000 рублей возмещения судебных расходов по оплате экспертизы, 35 000 рублей возмещения судебных расходов по оплате услуг представителя, 6 000 рублей возмещения судебных расходов по уплате государственной пошлины. К участию в деле в качестве третьих лиц, не заявляющих самостоятельных требований относительно предмета спора, привлечены закрытое акционерное общество работников «Народное предприятие ЧитаГражданПроект», Государственная инспекция Забайкальского края. 2 Решением Арбитражного суда Забайкальского края от 25.11.2021, оставленным без изменения постановлением Четвертого арбитражного апелляционного суда от 16.02.2022 и постановлением Арбитражного суда Восточно-Сибирского округа от 08.06.2022, в удовлетворении требований отказано. В кассационной жалобе, поданной в Верховный Суд Российской Федерации, заявители просят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 заявители указывает на ошибочность выводов судов об истечении срока исковой давности по заявленным требованиям, обращая внимание, что судами не были установлены все обстоятельства, имеющие значение для дела.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по договору участия в долевом строительстве от 14.04.2008 государственное учреждение «Медстрой» Комитета здравоохранения Читинской области (с 13.01.2012 – государственное казенное учреждение «Забайкалстройзаказчик» Забайкальского края; 31.07.2015 прекратило деятельность путем реорганизации в форме присоединения к ответчику) являлось застройщиком многоквартирного жилого дома со встроенными нежилыми помещениями и пристроенным подземным гаражом-автостоянкой на земельном участке по адресу: Забайкальский край, г. Чита, ул. Нагорная, 43а. Пунктом 3.2 договора участия в долевом строительстве установлен гарантийный срок объекта долевого строительства – 5 лет с даты подписания сторонами акта приема-передачи объекта долевого строительства. Отделом разрешений на строительство и ввод объектов в эксплуатацию управления архитектуры и градостроительства комитета по развитию инфраструктуры администрации городского округа «Город Чита» 28.09.2012 застройщику выдано разрешение № RU75303000-74 на ввод в эксплуатацию построенного объекта капитального строительства – гаража-стоянки; акт приема- передачи объекта долевого строительства в материалы дела не представлен. Истец, как управляющая организация многоквартирным жилым домом, обратился к ответчику с претензией от 12.05.2017 № 330 с требованием об исполнении гарантийных обязательств застройщика по устранению недостатков 3 объекта долевого строительства - названного многоквартирного жилого дома, указав, что в связи с нарушением целостности асфальтного покрытия и гидроизоляционного слоя при выпадении осадков в помещениях автостоянки появляются многочисленные протечки, что приводит к разрушению несущих конструкций сооружения. Претензия получена ответчиком 15.05.2017. Впоследствии истец неоднократно повторно обращался к ответчику с указанным требованием. Ссылаясь на то, что ответчик указанное требование не выполнил,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4,7 Федерального закона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статьей 161 Жилищного кодекса Российской Федерации, статьями 195, 196,199, 200,201 Гражданского кодекса Российской Федерации (далее – Гражданский кодекс),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суды отказали в удовлетворении требований по основанию истечения срока исковой давности.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исходили из того, что течение давностного срока для требований участника долевого строительства, предъявляемых к застройщику в связи с ненадлежащим качеством объекта долевого строительства, выявленным в течение гарантийного срока, начинается со дня заявления о недостатках (пункт 32 Обзора практики разрешения судами споров, возникающих в связи с участием граждан в долевом строительстве многоквартирных домов и иных объектов недвижимости, утвержденного Президиумом Верховного Суда Российской Федерации 04.12.2013). При этом перемена лиц в обязательстве не влечет изменения срока исковой давности и порядка его исчисления (статья 201 Гражданского кодекса). Суды обоснованно исчислили срок исковой давности с момента получения ответчиком претензии истца 15.05.2017, тогда как исковое заявление было подано в суд только 25.06.2020. Доводы кассационной жалобы не свидетельствуют о допущенных судами нарушениях норм процессуального права, которые бы служили достаточным основанием в силу части 1 статьи 291.11 АПК РФ к отмене обжалуемых судебных актов. 4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«УК НАРСПИ»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