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19.08.2021, оставленным без изменения постановлением Четырнадцатого арбитражного апелляционного суда от 01.12.2021 и постановлением Арбитражного суда Северо-Западного округа от 18.04.2022, в удовлетворении заявлений отказано. В кассационной жалобе Мамаева Л.Н. просит об отмене судебных актов, ссылаясь на ненадлежащую оценку обстоятельств заключения сделок, неправомерное применение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Доводы заявителя рассмотрены и признаны не влияющими на судьбу оспариваемых сделок. Требуемая в жалобе переоценка выводов судов в отношении сделок не попадает под названные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Мамаевой Л.Н.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