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об исключении требований Черновой Нины Николаевны из третьей очереди реестра требований кредиторов должника (далее – реестр) и признании их подлежащими удовлетворению за счёт имущества должника, оставшегося после удовлетворения требований, включённых в реестр. Определением Арбитражного суда Новосибирской области от 25.10.2021, оставленным без изменения постановлениями Седьмого арбитражного апелляционного суда от 04.02.2022 и Арбитражного суда Западно-Сибирского округа от 20.04.2022,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2 экономической деятельности, а также защита охраняемых законом публичных интересов (статья 291.11 Арбитражного процессуального кодекса Российской Федерации). Рассмотрев доводов кассационной жалобы и отзыва на неё, изучив судебные акты, судья полагает, что они не свидетельствуют о наличии оснований, предусмотренных статьей 291.11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«Нанс Финанс»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