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26.10.2021, оставленным без изменения постановлением Второго арбитражного апелляционного суда от 16.03.2022 и постановлением Арбитражного суда Волго-Вятского округа от 31.05.2022, в удовлетворении заявления Соколова Н.М. об исправлении описки, допущенной в определении Арбитражного суда Костромской области от 25.03.2021,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Изменение существа мотивировочной части определения, требуемое Соколовым Н.М., не укладывается в пределы статьи 179 Арбитражного процессуального кодекса Российской Федерации, поэтому в ее применении к заявленным обстоятельствам отказано.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