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06.10.2021, оставленным без изменения постановлением Десятого арбитражного апелляционного суда от 28.01.2022 и постановлением Арбитражного суда Московского округа от 13.04.2022, заявление удовлетворено. В кассационной жалобе Манукян А.А.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сделки попадают под критерии, предусмотренные пунктами 2, 3 статьи 61.3 Федерального закона «О несостоятельности (банкротстве)», наличие которых влечет их недействительность. Обжалуемые судебные акты соответствуют закону и имеющимся в деле доказательствам.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Манукяну Арегу Арменовичу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