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Климентов Иван Сергеевич обратился в суд с заявлением об изменении порядка и способа исполнения определения Арбитражного суда города Москвы от 24.11.2020, принятого по обособленному спору о признании недействительным договора купли-продажи автомобиля № 553 от 12.10.2017, заключенного между должником и Гребенниковым В.П., применении последствий его недействительности. Определением Арбитражного суда города Москвы от 07.10.2021, оставленным без изменения постановлениями Девятого арбитражного апелляционного суда от 24.01.2022 и Арбитражного суда Московского округа от 20.04.2022,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способ исполнения судебного акта, суды, руководствуясь статьёй 324 Арбитражного процессуального кодекса Российской Федерации, пунктом 2 статьи 167 Гражданского кодекса Российской Федерации, пунктом 1 статьи 61.6 Федерального закона от 26.10.2002 № 127-ФЗ «О несостоятельности (банкротстве)» исходили из того, что подлежащее возвращению в конкурную массу по недействительной сделке транспортное средство выбыло из владения заявителя, в связи с чем сочли необходимым взыскать с последнего рыночную стоимость этого имущества, определённую на дату совершения сделки.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Гребенникову Вадиму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