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24.03.2022, оставленным без изменения постановлением Арбитражного суда Волго-Вятского округа от 27.05.2022,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