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22.03.2022, оставленным без изменения постановлением Арбитражного суда Волго-Вятского округа от 27.05.2022,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