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01.12.2021 процедура реализации имущества должника завершена, должник освобожден от дальнейшего исполнения требований кредиторов. Постановлением Девятого арбитражного апелляционного суда от 17.02.2022 определение от 01.12.2021 отменено в части, в отношении должника не применены правила об освобождении от дальнейшего исполнения требований кредиторов. Постановлением Арбитражного суда Московского округа от 11.05.2022, постановление апелляционного суда отменено, определение суда первой инстанции оставлено в силе. В кассационной жалобе ФИО1 просит об отмене определения суда первой инстанции и постановления окружного суда, ссылаясь на игнорирование недобросовестности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исследовал и оценил поведение должника в ситуациях образования и погашения задолженности и признал его создающим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В отсутствие у суда апелляционной инстанции оснований для иных выводов в отношении тех же обстоятельств, которыми располагал суд первой инстанции, окружной суд отменил апелляционное постановление в соответствии с компетенцией, предусмотренной статьями 286 - 288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"Сбербанк России" (подробнее) Иные лица: ПАО Сбербанк России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