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Матинян И.А. обратился в суд с заявлением о разрешении разногласий, возникших между конкурсным управляющим и кредиторами должника, по вопросу определения источника средств для выплаты страховой премии по дополнительному договору обязательного страхования ответственности арбитражного управляющего и очерёдности их удовлетворения. Определением Арбитражного суда Ставропольского края от 28.09.2021, оставленным без изменения постановлениями Шестнадцатого арбитражного апелляционного суда от 10.03.2022 и Арбитражного суда Северо-Кавказского округа от 02.06.2022, отказано в удовлетворении требований конкурсного управляющего. В кассационной жалобе, поданной в Верховный Суд Российской Федерации, заявитель просит отменить указанные судебные акты и принять новый судебный акт о компенсации расходов на дополнительное страхование за счёт конкурсной массы должника.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20.7 и 24.1 Федерального закона от 26.10.2002 № 127-ФЗ «О несостоятельности (банкротстве)», исходили из того, что расходы, связанные с заключением договора дополнительного страхования ответственности, в рассматриваемом случае не подлежат возмещению за счёт конкурсной массы.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открытым акционерным обществом «Инфоконсалт» Матиняну Илье Агасиевичу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