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города Москвы от 15.02.2022, оставленным без изменения постановлениями Девятого арбитражного апелляционного суда от 13.04.2022 и Арбитражного суда Московского округа от 09.06.2022, признано обоснованным заявление общества с ограниченной ответственностью «Группа компаний «Стройпрогресс» о признании должника несостоятельным, в отношении должника введена процедура наблюдения, временным управляющим должником утверждён ФИО1. В кассационной жалобе, поданной в Верховный Суд Российской Федерации, заявитель просит отменить указанные судебные акты в части утверждения временного управляющего и направить вопрос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с дополнением таких оснований не установлено. Разрешая спор в обжалуемой части, суды, руководствуясь положениями статей 20 , 20.2 , 45 и 65 Федерального закона от 26.10.2002 № 127-ФЗ «О несостоятельности (банкротстве)», обосновано исходили из отсутствия оснований для отказа в утверждении кандидатуры ФИО1 временным управляющим должником.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«Ударник»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Изора инвестментс Лимитед (подробнее) ООО Группа Компаний "СТРОЙПРОГРЕСС" (подробнее) Ответчики: ООО "Ударник" (подробнее) Иные лица: Д.В. Московский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