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требований в размере 72 340 006 рублей. Определением Арбитражного суда города Москвы от 21.12.2021, оставленным без изменения постановлениями Девятого арбитражного апелляционного суда от 16.02.2022 и Арбитражного суда Московского округа от 11.05.2022, требования общества признано обоснованным с удовлетворением за счёт имущества, оставшегося после удовлетворения требований кредиторов, включённых в реестр.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а также изменить определение суда первой инстанции и признать требования общества подлежащим включению в третью очередь реестра.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63 Гражданского кодекса Российской Федерации, статей 2, 103 и 148 Федерального закона от 26.10.2002 № 127-ФЗ «О несостоятельности (банкротстве)», исходили из того, что требования общества основаны на действиях по внесении имущества в уставной капитал должника и не могут конкурировать с требованиями независимых кредиторов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«Парклайн Трейд» Максимову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