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«Волгоградский металлургический комбинат «Красный Октябрь» (далее – общество) обратилось в суд с заявлением о включении в реестр требований кредиторов должника (далее – реестр) его требований в размере 4 213 902 304 рубля 61 копейка. Определением Арбитражного суда Челябинской области от 16.07.2021, оставленным без изменения постановлениями Восемнадцатого арбитражного апелляционного суда от 29.12.2021 и Арбитражного суда Уральского округа от 11.04.2022, требования общества признаны обоснованными и подлежащими удовлетворению в очерёдности, предшествующей распределению ликвидационной квоты.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суд первой инстанции. Исходя из содержания настоящей жалобы, заявитель не согласен с указанными судебными актами в части субординации требований общества. Жалоба изучена в пределах изложенных в ней доводов.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позициями, изложенными в пунктах 3.1, 3.3, 3.4 и 4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утвержденном Президиумом Верховного Суда Российской Федерации 29.01.2020, исходили из наличия оснований для субординации требований общества.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Карабанову Александру Львовичу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