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20.10.2021, оставленным без изменения постановлением Девятого арбитражного апелляционного суда от 13.01.2022 и постановлением Арбитражного суда Московского округа от 21.04.2022, в удовлетворении первоначального и встречного исков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Доводы жалобы сводятся к несогласию с выводами судов в части отказа в удовлетворении первоначального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заявителя не установлено. Как следует из материалов дела и установлено судами, исковые требования общества (подрядчик) мотивированы тем, что в счет оплаты выполненных им работ по договору подряда от 06.03.2019 № 2/2019 (далее – договор), заключенному с компанией (заказчик), последняя уступила обществу недействительное (отсутствующее) право требования. Суды первой и апелляционной инстанций, руководствуясь статьями 8, 10, 12, 15, 309, 310, 393, 421, 431, 702, 708, 711, 720, 746, 753 Гражданского кодекса Российской Федерации, отказали в удовлетворении иска общества, указав, что им избран неверный способ защиты в отношении требования о признании уступленного права требования недействительным, а оснований для взыскания с компании убытков не имеется, поскольку последней произведена оплата выполненных работ в большем размере, чем согласовано сторонами; дополнительное соглашение к договору на выполнение дополнительных работ стороны не заключали; доказательств фактического выполнения обществом работ на спорную сумму и передачи их результата компании не представлено; совокупность условий, необходимых для взыскания с компании убытков, не подтверждена. Оставляя судебные акты об отказе в иске общества без изменения, окружной суд с учетом положений статей 190, 390, 393 Гражданского кодекса Российской Федерации, статей 133, 168 Арбитражного процессуального кодекса Российской Федерации не согласился с выводом судов об избрании обществом неверного способа защиты права. Вместе с тем суд округа констатировал, что ошибочное применение судами норм права не привело к принятию неправильных судебных актов, поскольку совокупность установленных по делу обстоятельств свидетельствует о недоказанности факта выполнения обществом спорных работ. Доводы кассационной жалобы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«Центр научной экспертизы»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