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этом, как следует из данных информационного ресурса «Картотека арбитражных дел», согласно резолютивной части решения суда первой инстанции от 10.08.2022 спор разрешен по существу, первоначальный иск удовлетворен, с общества «Ремак МСК» в пользу общества «Ромекс-Кубань» взыскано 93 040 892,12 рублей, уплаченных за некачественный товар, в удовлетворении встречного иска отказано.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«Ремак МСК»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