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В обоснование пропуска двухмесячного срока для обращения в Верховный Суд Российской Федерации с кассационной жалобой заявитель сослался на необходимость исчисления данного срока с момента получения постановления суда округа, то есть с 04.06.2022. Рассмотрев ходатайство, судья не находит оснований для его удовлетворения, поскольку объективных причин несоблюдения срока подачи жалобы заявителем не названо. Срок для подачи кассационной жалобы исчисляется со дня вступления в законную силу последнего оспариваемого судебного акта, принятого по делу, а не со дня получения стороной его копии. Из представленных заявителем копий обжалуемых судебных актов следует, что представитель заявителя принимал участие в судебных заседаниях, в том числе, в суде кассационной инстанции, то есть заявителем своевременно была получена информация о принятых судебных актах. Судебные акты в полном объеме были размещены в общедоступном банке судебных решений в электронном виде. Документов, свидетельствующих об отсутствии у ответчика возможности своевременно получить информацию о рассмотрении дела судом кассационной инстанций и обратиться с жалобой в установленный законом срок, не представлено. Кроме того, с момента получения копии оспариваемого судебного акта у заявителя было достаточно времени для подготовки и направления кассационной жалобы в установленный законом срок. В силу положений статьи 41 АПК РФ лица, участвующие в деле, должны добросовестно пользоваться всеми принадлежащими им процессуальными правами, в том числе и правом обжалования судебных актов, и несут риск наступления последствий совершения (несовершения)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не приведено, ходатайство заявителя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 Руководствуясь статьями 117 , 184 , 185 ,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«Позитив 88В» о восстановлении пропущенного процессуального срока на подачу кассационной жалобы отказать, кассационную жалобу возвратить заявителю. Судья Верховного Суда Российской Федерации Борисова Е. Е. Суд: Верховный Суд РФ (подробнее) Истцы: ООО "ПОЗИТИВ 88В" (подробнее) ООО "Позитив"Шестюк Е.Н. (подробнее) Ответчики: ООО "Эко-Лайн" (подробнее) Иные лица: Арбитражный суд Западно-Сибирского округа (подробнее) Министерство строительства,транспорта, ЖКХ Алтайского края (подробнее) МИФНС №1 по Алтайскому краю (подробнее) ООО "ВТОРГЕОРЕСРС" (подробнее) ООО "ВторГеоРесурс" (подробнее) Седьмой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