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из обжалуемых заявителем судебных актов является постановление суда округа, принятое и вступившее в законную силу 17.12.2021. Предприниматель 02.08.2022, то есть с пропуском установленного срока, направил в Верховный Суд Российской Федерации кассационную жалобу, приложив ходатайство о восстановлении пропущенного срока. В соответствии с частью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2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Согласно положениям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 Поскольку на момент обращения заявителя с кассационной жалобой в Верховный Суд Российской Федерации истек предусмотренный законом предельно допустимый шестимесячный срок, в течение которого при наличии уважительных причин мог быть восстановлен срок подачи кассационной жалобы, основания для удовлетворения ходатайства отсутствуют. В силу части 2 статьи 9 АПК РФ участвующие в деле лица несут риск наступления последствий совершения или не совершения ими процессуальных действий. Учитывая изложенное и руководствуясь статьями 291.2, 291.5 АПК РФ,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Николаенко Ивана Александровича отказать, кассационную жалобу возвратить заявителю. Судья Верховного Суда Борисова Е. 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