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Девятого арбитражного апелляционного суда от 02.02.2022, оставленным без изменения постановлением Арбитражного суда Московского округа от 20.04.2022, производство по апелляционной жалобе Алонсо Э.В.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Алонсо Э.В. просит отменить судебные акты, принятые в отношении апелляционной жалобы, ссылаясь на игнорирование уважительных причин пропуска срока.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Суды в пределах имеющейся компетенции оценили обозначенные заявителем обстоятельства пропуска срока на обжалование и требуемая в жалобе их переоценка не составляет указанных выше оснований для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Алонсо Эвилинне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