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29.04.2021 исковые требования удовлетворены. Постановлением Девятого арбитражного апелляционного суда от 07.12.2021, оставленным без изменения постановлением Арбитражного суда Московского округа от 13.04.2022, решение отменено, в удовлетворении иска отказано. В кассационной жалобе общество «Новотранс» просит об отмене судебных актов апелляционного и окружного судов, ссылаясь на неправильное применение норм права и ненадлежащую оценку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ответчику нарушений в качестве условий для взыскания требуемых на основании статей 15, 1064 Гражданского кодекса Российской Федерации убытков.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«Холдинговая компания «Новотранс»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