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19.08.2021, оставленным без изменения постановлением Девятого арбитражного апелляционного суда от 02.11.2021 и постановлением Арбитражного суда Московского округа от 24.01.2022, договор признан недействительным, ФИО2 обязан возвратить в конкурсную массу должника 1 410 400 рублей. В кассационной жалобе ФИО2 просит об отмене судебных актов, ссылаясь на отсутствие у должника неисполненных денежных обязательств на момент заключения договора и пропуск срока исковой давности для признания сделки недействительной как оспоримой.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реализацию должником земельных участков по существенно заниженной цене, не могущую не насторожить приобретателя, оценка поведения которого в указанных обстоятельствах основана на статьях 10 , 168 Гражданского кодекса Российской Федерации. К сделкам, признаваемым недействительными в силу названных норм, применяется срок исковой давности, предусмотренный пунктом 1 статьи 181 Гражданского кодекса Российской Федерации, начало течения которого для финансового управляющего определено по правилу статьи 200 Кодекса.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