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августа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города Москвы от 01.11.2021, оставленным без изменения постановлением Девятого арбитражного апелляционного суда от 26.01.2022 и постановлением Арбитражного суда Московского округа от 15.04.2022, заявление удовлетворено. В кассационной жалобе Билек Ю.В. просит об отмене судебных актов, ссылаясь на неприменение исковой давности, отсутствие условий для признания сделок недействительными.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2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по доводами жалобы не усматривается. Суды установили признаки мнимости у сделок должника в пользу малолетнего сына, вследствие которых за должником сохранилось имущество, попадающее под взыскание по имеющимся обязательствам (статьи 10, 168, 170 Гражданского кодекса Российской Федерации). Для признания сделок недействительными по названным основаниям применяется срок исковой давности, предусмотренный пунктом 1 статьи 181 Гражданского кодекса Российской Федерации, соблюденным финансовым управляющим.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Билек Ю.В.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