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07.10.2021 признал договор купли-продажи квартиры от 05.07.2017 недействительным и применил последствия недействительности сделки в виде взыскания с Мокрецовой О.А. 1 950 000 рублей в конкурсную массу должника. Семнадцатый арбитражный апелляционный суд постановлением от 24.12.2021 изменил определение от 07.10.2021 в части применения последствий недействительности сделки, взыскав Мокрецовой О.А. в конкурсную массу должника 3 050 000 рублей и восстановив ее требование к Гиреву А.Н. в размере 860 000 рублей. Арбитражный суд Уральского округа постановлением от 20.04.2022 постановление апелляционного суда от 24.12.2021 оставил без изменения. В кассационной жалобе Баева (Мокрецова) О.А. просит об отмене судебных актов, ссылаясь на неправильную оценку обстоятельств заключения договора.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Иная оценка заявителем установленных обстоятельств заключения спорного договора и их последствий не создает оснований для кассационного пересмотра обжалуемых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Баевой (Мокрецовой) О.А.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