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04.08.2021, оставленным без изменения постановлением Семнадцатого арбитражного апелляционного суда от 20.12.2021 и постановлением Арбитражного суда Уральского округа от 11.04.2022, в удовлетворении заявления отказано в связи с истечением срока исковой давности, о применении которой заявил Новиков И.В., а также отсутствием условий для взыскания убытков. В кассационной жалобе Костромин Н.Н. просит об отмене указанных судебных актов, ссылаясь на нарушения в применении исковой давности и игнорирование ненадлежащего исполнения управляющим своих обязанностей.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Истечение срока исковой давности является самостоятельным основанием для отказа в удовлетворении заявлении и не требует обсуждения других оснований (пункт 2 статьи 199 Гражданского кодекса Российской Федерации). Установив, что на момент обращения в арбитражный суд срок исковой давности истек, суды, руководствуясь статьями 196, 199, 200 Гражданского кодекса Российской Федерации, отказали в удовлетворении требования, указав при этом мотивы, в связи с которыми требование не подлежит удовлетворению и по существу. Доводы кассационной жалобы не подтверждают нарушения норм права и не составляют оснований для пересмотра обжалуемых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Костромину Николаю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