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31.08.2021, оставленным без изменения постановлением Одиннадцатого арбитражного апелляционного суда от 21.12.2021 и постановлением Арбитражного суда Поволжского округа от 17.05.2022, взыскано 637 670 рублей 38 копеек неосновательного обогащения. В кассационной жалобе общество «Премьер-Транс» просит об отмене судебных актов в части учета при определении сальдо встречных обязательств агентского вознаграждения, ссылаясь на недоказанность исполнения агентского договора.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Включение в расчет сальдо встречных обязательств агентского вознаграждения признано судами обоснованным, поскольку установлена связь услуг агента с реализацией предмета лизинга. Существенного завышения стоимости агентских услуг и недобросовестности лизингодателя в вопросе реализации изъятых транспортных средств суды не признали. Доводы, связанные с оценкой доказательств фактического оказания агентских услуг,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«Премьер-Транс»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