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18.01.2022, оставленным без изменения постановлением Четвертого арбитражного апелляционного суда от 30.03.2022 и постановлением Арбитражного суда Восточно-Сибирского округа от 02.06.2022, иск удовлетворен. В кассационной жалобе, поданной в Верховный Суд Российской Федерации, предприниматель просит отменить указанные судебные акты как принятые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309, 310, 990, 996, 999, 1002, 1003 Гражданского кодекса Российской Федерации, установив, что предприниматель (комиссионер) после расторжения спорного договора не в полном объеме возвратил обществу (комитент) остаток нереализованных товаров, суды пришли к выводу о наличии оснований для взыскания с ответчика стоимости этих товаров, удовлетворив исковые требования. Суд округа поддержал выводы судов первой и апелляционной инстанций, мотивированно отклонив доводы заявителя о его ненадлежащем извещении о перерыве в судебном заседании суда первой инстанции.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Заявленное предпринимателем ходатайство о приостановлении исполнения решения суда первой инстанции рассмотрению не подлежит, поскольку в передаче его кассационной жалобы для рассмотрения в судебном заседании Судебной коллегии Верховного Суда Российской Федерации отказано.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Андреевой Надежды Сергеевны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