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21.09.2021, оставленным без изменения постановлением Четырнадцатого арбитражного апелляционного суда от 27.12.2021 и постановлением Арбитражного суда Северо-Западного округа от 14.04.2022, иск удовлетворен. В кассационной жалобе, поданной в Верховный Суд Российской Федерации, министерство просит отменить указанные судебные акты как принятые с нарушением норм материального и процессуального права.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210, 309, 310, 330, 779, 781 Гражданского кодекса Российской Федерации, статьями 39, 153, 154, 155, 158 Жилищного кодекса Российской Федерации, суды первой и апелляционной инстанции пришли к выводу о наличии оснований для удовлетворения иска, исходя из подтвержденности факта оказания истцом ответчику в спорный период услуг, их объема, стоимости, а также задолженности ответчика по их оплате в заявленном размере. Суд округа поддержал выводы судов первой и апелляционной инстанций. Доводы кассационной жалобы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