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14.04.2021 исковые требования удовлетворены. Постановлением Первого арбитражного апелляционного суда от 21.10.2021 решение суда первой инстанции отменено, иск оставлен без рассмотрения. Постановлением Арбитражного суда Волго-Вятского округа от 31.03.2022 постановление суда апелляционной инстанции отменено, решение суда первой инстанции оставлено в силе. 2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постановление суда апелляционной инстанции либо направить дело на новое рассмотрение в соответствующий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предпринимателем услуг по спорным договорам и неоплаты их обществом, руководствуясь статьями 309, 310, 395, 779, 781 Гражданского кодекса Российской Федерации, суд первой инстанции пришел к выводу о наличии оснований для удовлетворения исковых требований. Суд округа поддержал выводы суда первой инстанции, указав на отсутствие у суда апелляционной инстанций оснований для оставления искового заявления без рассмотрения. Доводы кассационной жалобы с учетом конкретных обстоятельств спора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«Кемары»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