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по настоящему делу судебным актом является постановление суда округа, вступившее в законную силу 11.03.2020.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Кассационная жалоба ФИО1 подана в Верховный Суд Российской Федерации посредством услуг почтовой связи заказным почтовым отправлением. Согласно штампу, проставленному на конверте, в отделение почтовой связи по месту отправления кассационная жалоба поступила 21.05.2020, то есть за пределами установленного законом Положениями части 2 статьи 291.2 Арбитражного процессуального кодекса Российской Федерации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Согласно части 3 статьи 291.2 Арбитражного процессуального кодекса Российской Федерации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данной статьи арбитражный суд восстанавливает пропущенный процессуальный срок, если признает причины пропуска уважительными. В качестве обстоятельств пропуска срока на подачу кассационной жалобы ФИО1 ссылается на незначительность допущенного нарушения и на ограничительные меры, введенные в связи с осложнением эпидемиологической ситуации в Российской Федерации и возникновением угрозы распространения коронавирусной инфекции, которые затруднили своевременную подготовку текста кассационной жалобы и ее отправку. Судья находит данные причины уважительными, а процессуальный срок на подачу кассационной жалобы ФИО1 – подлежащим восстановлению.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восстановить срок на подачу кассационной жалобы на решение Арбитражного суда Челябинской области от 25.07.2019 по делу № А76-6914/2017, постановление Восемнадцатого арбитражного апелляционного суда от 07.11.2019 и постановление Арбитражного суда Уральского округа от 11.03.2020 по тому же делу. Судья Верховного Суда Д.В. Тютин Российской Федерации Суд: Верховный Суд РФ (подробнее) Истцы: АО "ТрансЭнерго" (подробнее) Ответчики: Лукашин Герман Мефодьевич (представитель Лукашин Андрей Германович) (подробнее) Последние документы по делу: Определение от 10 февраля 2022 г. по делу № А76-6914/2017 Определение от 31 июля 2020 г. по делу № А76-6914/2017 Определение от 18 июня 2020 г. по делу № А76-6914/2017 Определение от 15 июня 2020 г. по делу № А76-6914/2017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