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30.09.2021, оставленным без изменения постановлением Седьмого арбитражного апелляционного суда от 22.12.2021 и постановлением Арбитражного суда Западно-Сибирского округа от 15.04.2022, иск удовлетворен. В кассационных жалобах, поданных в Верховный Суд Российской Федерации, общество и компания, ссылаясь на нарушение судами норм материального и процессуального права, просят отменить указанные судебные акты и направить дело на новое рассмотрение в Арбитражный суд Новосибирской области.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кассационных жалоб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что в ходе исполнения заключенного договора сторонами была выявлена необходимость выполнения дополнительных работ, в том числе тех, без которых достижение результата работ, согласованного договором, не представлялось возможным. Принимая во внимание, что необходимость выполнения спорных работ также обусловлена экстренным характером, направленностью исключительно на устранение внезапно произошедшей аварии и ее последствий для обеспечения экологической, пожарной безопасности, а также безопасности на железнодорожном транспорте, учитывая, что центр (исполнитель) уведомил общество (заказчик) о необходимости корректировки финансово-экономических расчетов и увеличении цены договора, а последнее определило объем и срок выполнения дополнительных работ и предложило исполнителю представить детализированный расчет стоимости выполненных работ, суды пришли к выводу о том, что заказчик согласовал действия по проведению дополнительных работ, необходимых для завершения технологического цикла и обеспечения годности и прочности результата работ. Отметив, что отсутствие дополнительного соглашения на проведение дополнительных работ и увеличение цены не освобождает заказчика от их оплаты, поскольку работы были выполнены центром и приняты обществом, представляют потребительскую ценность для общества и оно имеет реальную возможность ими воспользоваться, руководствуясь статьями 309, 310, 702, 709, 711, 753, 758 Гражданского кодекса Российской Федерации, разъяснениями, изложенными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суды пришли к выводу о наличии оснований для удовлетворения иска, с чем впоследствии согласился суд округа. Доводы кассационных жалоб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 для рассмотрения в судебном заседании 3 Судебной коллегии Верховного Суда Российской Федерации. По существу они направлены на переоценку установленных фактических обстоятельств, что не входит в полномочия суда при кассационном производстве.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открытого акционерного общества «Российские железные дороги» и акционерного общества «Транснефтепродукт»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