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28.10.2021, оставленным без изменения постановлением Девятого арбитражного апелляционного суда от 17.01.2022 и постановлением Арбитражного суда Московского округа от 19.04.2022, исковые требования удовлетворены. В кассационной жалобе, поданной в Верховный Суд Российской Федерации, Ильин П.К.,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признав доказанным факт безосновательного перечисления истцом ответчику спорных денежных средств, получение которых последним не опровергнуто, установив отсутствие доказательств наличия между сторонами каких-либо правоотношений и иных оснований для перечисления денежных средств, как и доказательств их возврата, руководствуясь статьями 395, 1102, 1107 Гражданского кодекса Российской Федерации, суды первой и апелляционной инстанций пришли к выводу об обоснованности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Ильина Павла Константиновича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