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28.10.2021, оставленным без изменения постановлением Шестого арбитражного апелляционного суда от 04.03.2022 и постановлением Арбитражного суда Дальневосточного округа от 23.05.2022,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договоров, установив, что компания (подрядчик) перечислила в пользу общества (субподрядчик) аванс по договорам; обществом работы в установленный срок не выполнены и не сданы, доказательств целевого использования авансовых платежей не представлено; встречное предоставление по договорам в виде результата выполненных работ отсутствует, руководствуясь статьями 309, 310, 329, 330, 450, 708, 711, 715, 740, 746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«Талисман»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