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18.06.2021, оставленным без изменения постановлением Девятнадцатого арбитражного апелляционного суда от 15.12.2021 и постановлением Арбитражного суда Центрального округа от 12.04.2022, исковые требования удовлетворены. В кассационной жалобе, поданной в Верховный Суд Российской Федерации, предприниматель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признав доказанным факт оказания обществом (региональный оператор) предпринимателю (потребитель) услуг по обращению с твердыми коммунальными отходами в спорный период и наличие у последнего обязанности по их оплате, установив отсутствие доказательств оплаты задолженности, руководствуясь статьями 309, 310, 329, 330, 711, 779, 781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об обоснованности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Максимовой Ираиды Николаевны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