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29.07.2022 обратился в Верховный Суд Российской Федерации с жалобой на определение судьи Верховного Суда Российской Федерации от 16.06.2022 № 305-ЭС22-8432, решение Арбитражного суда Московской области от 23.09.2021 постановление Десятого арбитражного апелляционного суда от 24.11.2021 и постановление Арбитражного суда Московского округа от 14.02.2022 по делу № А41-47769/2021, заявив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Штерн Дианы Борисовны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