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ФИО2 в Арбитражный суд города Москвы обратилась ФИО3 с заявлением о включении в реестр требований кредиторов должника требования в размере 10 710 долларов США, заявив ходатайство о восстановлении срока на подачу требования. Определением Арбитражного суда города Москвы от 27.12.2021 срок восстановлен; признано обоснованным и включено в третью очередь реестра требований кредиторов должника требование ФИО3 в размере 684 904 рублей 50 копеек. Постановлением Девятого арбитражного апелляционного суда от 22.03.2022 определение суда первой инстанции оставлено без изменения. Арбитражный суд Московского округа постановлением от 06.06.2022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В представленном на кассационную жалобу отзыве ФИО3 просит в удовлетворении жалобы отказать, ссылаясь на отсутствие существенных нарушений норм права, повлиявших на исход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возражений отзыва, не установлено. Признав причины пропуска срока уважительными, суды пришли к выводу о восстановлении кредитору срока на заявление требования о включении в реестр требований кредиторов должника. Разрешая спор, суды руководствовались положениями статей 71 , 100 , 213.24 Федерального закона от 26.10.2002 № 127-ФЗ «О несостоятельности (банкротстве)», статьями 15 , 1064 Гражданского кодекса Российской Федерации,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представления заявителем достаточных доказательств наличия и размера задолженности, произведя расчет задолженности в рублях по курсу доллара США на дату введения в отношении должника процедуры реструктуризации долгов.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ВОЛКОВА ИРИНА ГЕННАДЬЕВНА (подробнее) ООО "Юридическое бюро "Падва и Эпштейн" (подробнее) Иные лица: Ку Гарманов С Г (подробнее) ф/у Гарманов С.Г. (подробнее) Судьи дела: Зарубина Е.Н. (судья)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