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обратилась в суд с заявлением об исключении из конкурсной массы должника индивидуального жилого дома общей площадью 67,7 квадратного метра, литеры А, А1, а1, условный номер 52-21-10/2008/114, и земельного участка общей площадью 882 кв. м., кадастровый номер 52:21:0000287:1050, расположенных по адресу: Нижегородская область, город Дзержинск, &lt;...&gt;. Определением Арбитражного суда Нижегородской области от 03.11.2017, оставленным без изменения постановлением Первого арбитражного апелляционного суда от 15.02.2018 и постановлением Арбитражного суда Волго-Вятского округа от 14.06.2018, в удовлетворении требований отказано.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требований,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24 , 446 Гражданского кодекса Российской Федерации, статей 50, 78 Федерального закона от 16.07.1998 № 102-ФЗ «Об ипотеке (залоге недвижимости)», статьи 213.25 Федерального закона от 26.10.2002 № 127-ФЗ «О несостоятельности (банкротстве)», констатировав обременённость спорной недвижимости ипотекой в пользу публичного акционерного общества «Коммерческий банк «Химик» (далее – банк) по договору от 21.09.2011 № 52-52-Н/080/2011-136 и указав на включение требований банка в состав третьей очереди реестра требований кредиторов должника как требований, обеспеченных залогом имущества должника, исходили из отсутствия оснований для исключения данного имущества из конкурсной массы должника ввиду того, что оно не обладает исполнительским иммунитетом. Выводы судов соответствуют нормам права, оснований для переоценки этих выводов по доводам жалобы не имеется. Доводы, приведенные в кассационной жалобе, в том числе о применении статьи 143 Арбитражного процессуального кодекса Российской Федерации, были предметом рассмотрения судов нижестоящих инстанций, получили надлежащую правовую оценку, отклонены как несостоятельные с подробным изложением мотивов отклонения.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ООО НПК "Скрудж"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